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6884"/>
          <w:sz w:val="19"/>
        </w:rPr>
        <w:t>MODIFIABLE REQUEST FOR PROPOSALS (RFP) TEMPLATE  |  VNA-RFP-031</w:t>
      </w:r>
    </w:p>
    <w:p>
      <w:pPr>
        <w:pStyle w:val="Heading1"/>
      </w:pPr>
      <w:r>
        <w:rPr>
          <w:color w:val="1B262B"/>
        </w:rPr>
        <w:t>Request for Proposals (RFP): B2B E-Commerce to Oracle Fusion ERP Zero-Downtime Pricing Cache &amp; ORDS API Hub</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006884"/>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82830"/>
          </w:tcPr>
          <w:p>
            <w:r>
              <w:rPr>
                <w:b/>
                <w:color w:val="FFFFFF"/>
                <w:sz w:val="19"/>
              </w:rPr>
              <w:t>Procurement Milestone / Field</w:t>
            </w:r>
          </w:p>
        </w:tc>
        <w:tc>
          <w:tcPr>
            <w:tcW w:type="dxa" w:w="5040"/>
            <w:shd w:val="clear" w:color="auto" w:fill="182830"/>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VNA-RFP-031 (Companion to Solution Brief VNA-SB-031)</w:t>
            </w:r>
          </w:p>
        </w:tc>
      </w:tr>
      <w:tr>
        <w:tc>
          <w:tcPr>
            <w:tcW w:type="dxa" w:w="5040"/>
          </w:tcPr>
          <w:p>
            <w:r>
              <w:rPr>
                <w:b/>
              </w:rPr>
              <w:t>RFP Issue Date</w:t>
            </w:r>
          </w:p>
        </w:tc>
        <w:tc>
          <w:tcPr>
            <w:tcW w:type="dxa" w:w="5040"/>
          </w:tcPr>
          <w:p>
            <w:r>
              <w:t>[2026-10-30]</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Direct Synchronous B2B Storefront Calls to Oracle Fusion Cloud ERP / Legacy ERP environment to OCI Autonomous Transaction Processing (ATP) Pricing Cache + ORDS REST APIs + BI Publisher Sync.</w:t>
      </w:r>
    </w:p>
    <w:p>
      <w:pPr>
        <w:pStyle w:val="ListBullet"/>
      </w:pPr>
      <w:r>
        <w:t>Critical business operations remain trapped in Direct Synchronous B2B Storefront Calls to Oracle Fusion Cloud ERP / Legacy ERP, creating audit risk, manual reconciliation overhead, and rising support costs.</w:t>
      </w:r>
    </w:p>
    <w:p>
      <w:pPr>
        <w:pStyle w:val="ListBullet"/>
      </w:pPr>
      <w:r>
        <w:t>Duplicate queries, cloned reports, and undocumented triggers make impact analysis slow and expensive across contract sku pricing combinations.</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006884"/>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006884"/>
          </w:tcPr>
          <w:p>
            <w:r>
              <w:rPr>
                <w:b/>
                <w:color w:val="FFFFFF"/>
                <w:sz w:val="19"/>
              </w:rPr>
              <w:t>Inventory Dimension</w:t>
            </w:r>
          </w:p>
        </w:tc>
        <w:tc>
          <w:tcPr>
            <w:tcW w:type="dxa" w:w="3360"/>
            <w:shd w:val="clear" w:color="auto" w:fill="006884"/>
          </w:tcPr>
          <w:p>
            <w:r>
              <w:rPr>
                <w:b/>
                <w:color w:val="FFFFFF"/>
                <w:sz w:val="19"/>
              </w:rPr>
              <w:t>Current Baseline Footprint (Editable)</w:t>
            </w:r>
          </w:p>
        </w:tc>
        <w:tc>
          <w:tcPr>
            <w:tcW w:type="dxa" w:w="3360"/>
            <w:shd w:val="clear" w:color="auto" w:fill="006884"/>
          </w:tcPr>
          <w:p>
            <w:r>
              <w:rPr>
                <w:b/>
                <w:color w:val="FFFFFF"/>
                <w:sz w:val="19"/>
              </w:rPr>
              <w:t>Target Modernization SLA / Objective</w:t>
            </w:r>
          </w:p>
        </w:tc>
      </w:tr>
      <w:tr>
        <w:tc>
          <w:tcPr>
            <w:tcW w:type="dxa" w:w="3360"/>
          </w:tcPr>
          <w:p>
            <w:r>
              <w:rPr>
                <w:b/>
              </w:rPr>
              <w:t>Legacy Source Stack (Stack X)</w:t>
            </w:r>
          </w:p>
        </w:tc>
        <w:tc>
          <w:tcPr>
            <w:tcW w:type="dxa" w:w="3360"/>
          </w:tcPr>
          <w:p>
            <w:r>
              <w:t>Direct Synchronous B2B Storefront Calls to Oracle Fusion Cloud ERP / Legacy ERP</w:t>
            </w:r>
          </w:p>
        </w:tc>
        <w:tc>
          <w:tcPr>
            <w:tcW w:type="dxa" w:w="3360"/>
          </w:tcPr>
          <w:p>
            <w:r>
              <w:t>Full retirement / modernization</w:t>
            </w:r>
          </w:p>
        </w:tc>
      </w:tr>
      <w:tr>
        <w:tc>
          <w:tcPr>
            <w:tcW w:type="dxa" w:w="3360"/>
          </w:tcPr>
          <w:p>
            <w:r>
              <w:rPr>
                <w:b/>
              </w:rPr>
              <w:t>Target Architecture (Stack Y)</w:t>
            </w:r>
          </w:p>
        </w:tc>
        <w:tc>
          <w:tcPr>
            <w:tcW w:type="dxa" w:w="3360"/>
          </w:tcPr>
          <w:p>
            <w:r>
              <w:t>OCI Autonomous Transaction Processing (ATP) Pricing Cache + ORDS REST APIs + BI Publisher Sync</w:t>
            </w:r>
          </w:p>
        </w:tc>
        <w:tc>
          <w:tcPr>
            <w:tcW w:type="dxa" w:w="3360"/>
          </w:tcPr>
          <w:p>
            <w:r>
              <w:t>Production HA/DR &amp; security governance</w:t>
            </w:r>
          </w:p>
        </w:tc>
      </w:tr>
      <w:tr>
        <w:tc>
          <w:tcPr>
            <w:tcW w:type="dxa" w:w="3360"/>
          </w:tcPr>
          <w:p>
            <w:r>
              <w:rPr>
                <w:b/>
              </w:rPr>
              <w:t>Active B2B Customer Accounts / Buyers</w:t>
            </w:r>
          </w:p>
        </w:tc>
        <w:tc>
          <w:tcPr>
            <w:tcW w:type="dxa" w:w="3360"/>
          </w:tcPr>
          <w:p>
            <w:r>
              <w:t>[Insert Count, e.g., 2500 accounts]</w:t>
            </w:r>
          </w:p>
        </w:tc>
        <w:tc>
          <w:tcPr>
            <w:tcW w:type="dxa" w:w="3360"/>
          </w:tcPr>
          <w:p>
            <w:r>
              <w:t>100% functional parity &amp; optimization</w:t>
            </w:r>
          </w:p>
        </w:tc>
      </w:tr>
      <w:tr>
        <w:tc>
          <w:tcPr>
            <w:tcW w:type="dxa" w:w="3360"/>
          </w:tcPr>
          <w:p>
            <w:r>
              <w:rPr>
                <w:b/>
              </w:rPr>
              <w:t>Contract SKU Pricing Combinations</w:t>
            </w:r>
          </w:p>
        </w:tc>
        <w:tc>
          <w:tcPr>
            <w:tcW w:type="dxa" w:w="3360"/>
          </w:tcPr>
          <w:p>
            <w:r>
              <w:t>[Insert Count, e.g., 500 K price rows]</w:t>
            </w:r>
          </w:p>
        </w:tc>
        <w:tc>
          <w:tcPr>
            <w:tcW w:type="dxa" w:w="3360"/>
          </w:tcPr>
          <w:p>
            <w:r>
              <w:t>Automated AST &amp; schema uplift</w:t>
            </w:r>
          </w:p>
        </w:tc>
      </w:tr>
      <w:tr>
        <w:tc>
          <w:tcPr>
            <w:tcW w:type="dxa" w:w="3360"/>
          </w:tcPr>
          <w:p>
            <w:r>
              <w:rPr>
                <w:b/>
              </w:rPr>
              <w:t>Redundant API Call Fan-Out Reduction</w:t>
            </w:r>
          </w:p>
        </w:tc>
        <w:tc>
          <w:tcPr>
            <w:tcW w:type="dxa" w:w="3360"/>
          </w:tcPr>
          <w:p>
            <w:r>
              <w:t>[Insert Count, e.g., 90 % cached in ATP]</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006884"/>
        </w:rPr>
        <w:t>Section 3: Mandatory Technical Scope of Work &amp; Conversion Matrix</w:t>
      </w:r>
    </w:p>
    <w:p>
      <w:pPr>
        <w:pStyle w:val="ListNumber"/>
      </w:pPr>
      <w:r>
        <w:rPr>
          <w:b/>
        </w:rPr>
        <w:t xml:space="preserve">[REQ-ARCH-01] </w:t>
      </w:r>
      <w:r>
        <w:t>Automated Phase 0 AST &amp; binary scan mapping Direct Synchronous B2B Storefront Calls to Oracle Fusion Cloud ERP / Legacy ERP artifacts directly to live Oracle dictionary metadata and profiling production data.</w:t>
      </w:r>
    </w:p>
    <w:p>
      <w:pPr>
        <w:pStyle w:val="ListNumber"/>
      </w:pPr>
      <w:r>
        <w:rPr>
          <w:b/>
        </w:rPr>
        <w:t xml:space="preserve">[REQ-ARCH-02] </w:t>
      </w:r>
      <w:r>
        <w:t>Target architecture built on OCI Autonomous Transaction Processing (ATP) Pricing Cache + ORDS REST APIs + BI Publisher Sync,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82830"/>
          </w:tcPr>
          <w:p>
            <w:r>
              <w:rPr>
                <w:b/>
                <w:color w:val="FFFFFF"/>
                <w:sz w:val="19"/>
              </w:rPr>
              <w:t>Req ID</w:t>
            </w:r>
          </w:p>
        </w:tc>
        <w:tc>
          <w:tcPr>
            <w:tcW w:type="dxa" w:w="2520"/>
            <w:shd w:val="clear" w:color="auto" w:fill="182830"/>
          </w:tcPr>
          <w:p>
            <w:r>
              <w:rPr>
                <w:b/>
                <w:color w:val="FFFFFF"/>
                <w:sz w:val="19"/>
              </w:rPr>
              <w:t>Legacy Artifact / Baseline Workload</w:t>
            </w:r>
          </w:p>
        </w:tc>
        <w:tc>
          <w:tcPr>
            <w:tcW w:type="dxa" w:w="2520"/>
            <w:shd w:val="clear" w:color="auto" w:fill="182830"/>
          </w:tcPr>
          <w:p>
            <w:r>
              <w:rPr>
                <w:b/>
                <w:color w:val="FFFFFF"/>
                <w:sz w:val="19"/>
              </w:rPr>
              <w:t>Required Target Architecture</w:t>
            </w:r>
          </w:p>
        </w:tc>
        <w:tc>
          <w:tcPr>
            <w:tcW w:type="dxa" w:w="2520"/>
            <w:shd w:val="clear" w:color="auto" w:fill="182830"/>
          </w:tcPr>
          <w:p>
            <w:r>
              <w:rPr>
                <w:b/>
                <w:color w:val="FFFFFF"/>
                <w:sz w:val="19"/>
              </w:rPr>
              <w:t>Engineering Method &amp; Acceptance Gate</w:t>
            </w:r>
          </w:p>
        </w:tc>
      </w:tr>
      <w:tr>
        <w:tc>
          <w:tcPr>
            <w:tcW w:type="dxa" w:w="2520"/>
          </w:tcPr>
          <w:p>
            <w:r>
              <w:rPr>
                <w:b/>
              </w:rPr>
              <w:t>REQ-01</w:t>
            </w:r>
          </w:p>
        </w:tc>
        <w:tc>
          <w:tcPr>
            <w:tcW w:type="dxa" w:w="2520"/>
          </w:tcPr>
          <w:p>
            <w:r>
              <w:t>Source Tier: Direct Synchronous B2B Storefront Calls to Oracle Fusion Cloud ERP / Legacy ERP</w:t>
            </w:r>
          </w:p>
        </w:tc>
        <w:tc>
          <w:tcPr>
            <w:tcW w:type="dxa" w:w="2520"/>
          </w:tcPr>
          <w:p>
            <w:r>
              <w:t>OCI Autonomous Transaction Processing (ATP) Pricing Cache + ORDS REST APIs + BI Publisher Sync</w:t>
            </w:r>
          </w:p>
        </w:tc>
        <w:tc>
          <w:tcPr>
            <w:tcW w:type="dxa" w:w="2520"/>
          </w:tcPr>
          <w:p>
            <w:r>
              <w:t>Automated AST &amp; Metadata Uplift (85%-95%)</w:t>
            </w:r>
          </w:p>
        </w:tc>
      </w:tr>
      <w:tr>
        <w:tc>
          <w:tcPr>
            <w:tcW w:type="dxa" w:w="2520"/>
          </w:tcPr>
          <w:p>
            <w:r>
              <w:rPr>
                <w:b/>
              </w:rPr>
              <w:t>REQ-02</w:t>
            </w:r>
          </w:p>
        </w:tc>
        <w:tc>
          <w:tcPr>
            <w:tcW w:type="dxa" w:w="2520"/>
          </w:tcPr>
          <w:p>
            <w:r>
              <w:t>Primary Footprint: Active B2B Customer Accounts / Buyers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Contract SKU Pricing Combinations</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006884"/>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B2B ERP Zero-Downtime Pricing Cache?   [Evaluator Score: ___ / 10]</w:t>
      </w:r>
    </w:p>
    <w:p>
      <w:pPr>
        <w:pStyle w:val="ListBullet"/>
      </w:pPr>
      <w:r>
        <w:rPr>
          <w:b/>
        </w:rPr>
        <w:t xml:space="preserve">Reference Evaluation Benchmark: </w:t>
      </w:r>
      <w:r>
        <w:t>Cost is controlled by five levers: (1) collapsing cloned query fan-out across contract sku pricing combinations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006884"/>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82830"/>
          </w:tcPr>
          <w:p>
            <w:r>
              <w:rPr>
                <w:b/>
                <w:color w:val="FFFFFF"/>
                <w:sz w:val="19"/>
              </w:rPr>
              <w:t>Milestone / Phase</w:t>
            </w:r>
          </w:p>
        </w:tc>
        <w:tc>
          <w:tcPr>
            <w:tcW w:type="dxa" w:w="2520"/>
            <w:shd w:val="clear" w:color="auto" w:fill="182830"/>
          </w:tcPr>
          <w:p>
            <w:r>
              <w:rPr>
                <w:b/>
                <w:color w:val="FFFFFF"/>
                <w:sz w:val="19"/>
              </w:rPr>
              <w:t>Deliverable &amp; Acceptance Gate</w:t>
            </w:r>
          </w:p>
        </w:tc>
        <w:tc>
          <w:tcPr>
            <w:tcW w:type="dxa" w:w="2520"/>
            <w:shd w:val="clear" w:color="auto" w:fill="182830"/>
          </w:tcPr>
          <w:p>
            <w:r>
              <w:rPr>
                <w:b/>
                <w:color w:val="FFFFFF"/>
                <w:sz w:val="19"/>
              </w:rPr>
              <w:t>Fixed Fee (USD)</w:t>
            </w:r>
          </w:p>
        </w:tc>
        <w:tc>
          <w:tcPr>
            <w:tcW w:type="dxa" w:w="2520"/>
            <w:shd w:val="clear" w:color="auto" w:fill="182830"/>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(VNA-RFP-031)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VNA-RFP-031  |  https://b2b-ecommerce-erp-pricing-cache.pages.dev/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